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D46D4" w14:textId="77777777" w:rsidR="00CC3FF9" w:rsidRPr="00EB33E8" w:rsidRDefault="00CC3FF9" w:rsidP="004421D1">
      <w:pPr>
        <w:spacing w:after="180" w:line="240" w:lineRule="auto"/>
        <w:ind w:left="-165" w:firstLine="16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cs-CZ"/>
          <w14:ligatures w14:val="none"/>
        </w:rPr>
        <w:t>Vnitřní oznamovací systém</w:t>
      </w:r>
    </w:p>
    <w:p w14:paraId="0C9918DC" w14:textId="1329277C" w:rsidR="00F51110" w:rsidRPr="004421D1" w:rsidRDefault="00F51110" w:rsidP="004421D1">
      <w:pPr>
        <w:spacing w:after="180" w:line="240" w:lineRule="auto"/>
        <w:ind w:left="-165" w:firstLine="165"/>
        <w:jc w:val="center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</w:pPr>
      <w:r w:rsidRPr="004421D1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  <w:t xml:space="preserve">podle </w:t>
      </w:r>
      <w:proofErr w:type="spellStart"/>
      <w:r w:rsidRPr="004421D1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  <w:t>ust</w:t>
      </w:r>
      <w:proofErr w:type="spellEnd"/>
      <w:r w:rsidRPr="004421D1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  <w:t>. § 8 odst. 1 písm. b) zákona č. 171/2023 Sb., o ochraně oznamovatelů</w:t>
      </w:r>
      <w:r w:rsidRPr="004421D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br/>
      </w:r>
      <w:r w:rsidRPr="004421D1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  <w:t>(</w:t>
      </w:r>
      <w:proofErr w:type="spellStart"/>
      <w:r w:rsidR="00EB33E8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  <w:t>W</w:t>
      </w:r>
      <w:r w:rsidRPr="004421D1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  <w:t>histleblowing</w:t>
      </w:r>
      <w:proofErr w:type="spellEnd"/>
      <w:r w:rsidRPr="004421D1"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  <w:t>)</w:t>
      </w:r>
    </w:p>
    <w:p w14:paraId="384D73A5" w14:textId="77777777" w:rsidR="00F51110" w:rsidRPr="004421D1" w:rsidRDefault="00F51110" w:rsidP="00CC3FF9">
      <w:pPr>
        <w:spacing w:after="180" w:line="240" w:lineRule="auto"/>
        <w:ind w:left="-165" w:firstLine="165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</w:p>
    <w:p w14:paraId="026D10CD" w14:textId="4BA57BB9" w:rsidR="00F51110" w:rsidRDefault="00F51110" w:rsidP="00F51110">
      <w:pPr>
        <w:pStyle w:val="Normlnweb"/>
        <w:shd w:val="clear" w:color="auto" w:fill="FFFFFF"/>
        <w:spacing w:before="0" w:beforeAutospacing="0" w:after="225" w:afterAutospacing="0"/>
        <w:jc w:val="center"/>
        <w:rPr>
          <w:b/>
          <w:bCs/>
        </w:rPr>
      </w:pPr>
      <w:r w:rsidRPr="004421D1">
        <w:rPr>
          <w:b/>
          <w:bCs/>
        </w:rPr>
        <w:t xml:space="preserve">realizovaný ze strany </w:t>
      </w:r>
    </w:p>
    <w:p w14:paraId="6C38AC80" w14:textId="77777777" w:rsidR="00C231B3" w:rsidRPr="009B2B7D" w:rsidRDefault="00C231B3" w:rsidP="009B2B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bookmarkStart w:id="0" w:name="_Hlk153451499"/>
      <w:r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Mgr. Jan Pavelka, Ph.D.</w:t>
      </w:r>
    </w:p>
    <w:p w14:paraId="1CAD0D02" w14:textId="21D2AE98" w:rsidR="00EB33E8" w:rsidRPr="009B2B7D" w:rsidRDefault="00F51110" w:rsidP="009B2B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IČO: </w:t>
      </w:r>
      <w:r w:rsidR="009B2B7D"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74451782</w:t>
      </w:r>
    </w:p>
    <w:p w14:paraId="2BA94C04" w14:textId="77777777" w:rsidR="009B2B7D" w:rsidRPr="009B2B7D" w:rsidRDefault="009B2B7D" w:rsidP="009B2B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DIČ: </w:t>
      </w:r>
      <w:r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CZ8205185780</w:t>
      </w:r>
    </w:p>
    <w:p w14:paraId="0082D10F" w14:textId="241DF0BD" w:rsidR="00EB33E8" w:rsidRPr="009B2B7D" w:rsidRDefault="00F51110" w:rsidP="009B2B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 sídlem</w:t>
      </w:r>
      <w:r w:rsidR="00EB33E8"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70402C" w:rsidRP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Klímova 2053/14, Žabovřesky, 616 00 Brno</w:t>
      </w:r>
    </w:p>
    <w:bookmarkEnd w:id="0"/>
    <w:p w14:paraId="47DA8FFF" w14:textId="7F9EA4F4" w:rsidR="00F51110" w:rsidRPr="009B2B7D" w:rsidRDefault="00F51110" w:rsidP="009B2B7D">
      <w:pPr>
        <w:pStyle w:val="Normlnweb"/>
        <w:shd w:val="clear" w:color="auto" w:fill="FFFFFF"/>
        <w:spacing w:before="0" w:beforeAutospacing="0" w:after="0" w:afterAutospacing="0"/>
        <w:jc w:val="center"/>
      </w:pPr>
      <w:r w:rsidRPr="009B2B7D">
        <w:t xml:space="preserve">tel.: </w:t>
      </w:r>
      <w:r w:rsidR="00EB33E8" w:rsidRPr="009B2B7D">
        <w:t>+ 420</w:t>
      </w:r>
      <w:r w:rsidR="00C231B3" w:rsidRPr="009B2B7D">
        <w:t> 774 815 479</w:t>
      </w:r>
      <w:r w:rsidRPr="009B2B7D">
        <w:t>, e-mail: </w:t>
      </w:r>
      <w:hyperlink r:id="rId8" w:history="1">
        <w:r w:rsidR="009B2B7D" w:rsidRPr="009B2B7D">
          <w:t xml:space="preserve">info@pavelkareality.cz </w:t>
        </w:r>
      </w:hyperlink>
    </w:p>
    <w:p w14:paraId="06F17FBD" w14:textId="50331816" w:rsidR="00F51110" w:rsidRPr="009B2B7D" w:rsidRDefault="00F51110" w:rsidP="009B2B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4"/>
          <w:szCs w:val="24"/>
          <w:lang w:eastAsia="cs-CZ"/>
          <w14:ligatures w14:val="none"/>
        </w:rPr>
      </w:pPr>
      <w:proofErr w:type="gramStart"/>
      <w:r w:rsidRPr="009B2B7D">
        <w:rPr>
          <w:rFonts w:ascii="Times New Roman" w:hAnsi="Times New Roman" w:cs="Times New Roman"/>
          <w:kern w:val="36"/>
          <w:sz w:val="24"/>
          <w:szCs w:val="24"/>
        </w:rPr>
        <w:t xml:space="preserve">( </w:t>
      </w:r>
      <w:r w:rsidRPr="009B2B7D">
        <w:rPr>
          <w:rFonts w:ascii="Times New Roman" w:hAnsi="Times New Roman" w:cs="Times New Roman"/>
          <w:b/>
          <w:bCs/>
          <w:kern w:val="36"/>
          <w:sz w:val="24"/>
          <w:szCs w:val="24"/>
        </w:rPr>
        <w:t>„</w:t>
      </w:r>
      <w:bookmarkStart w:id="1" w:name="_Hlk169637875"/>
      <w:proofErr w:type="gramEnd"/>
      <w:r w:rsidR="009B2B7D" w:rsidRPr="009B2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t>Mgr. Jan Pavelka, Ph.D.</w:t>
      </w:r>
      <w:bookmarkEnd w:id="1"/>
      <w:r w:rsidRPr="009B2B7D">
        <w:rPr>
          <w:rFonts w:ascii="Times New Roman" w:hAnsi="Times New Roman" w:cs="Times New Roman"/>
          <w:b/>
          <w:bCs/>
          <w:kern w:val="36"/>
          <w:sz w:val="24"/>
          <w:szCs w:val="24"/>
        </w:rPr>
        <w:t>“)</w:t>
      </w:r>
    </w:p>
    <w:p w14:paraId="376E4977" w14:textId="77777777" w:rsidR="00F51110" w:rsidRPr="00CC3FF9" w:rsidRDefault="00F51110" w:rsidP="00CC3FF9">
      <w:pPr>
        <w:spacing w:after="180" w:line="240" w:lineRule="auto"/>
        <w:ind w:left="-165" w:firstLine="165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3B2FBFF" w14:textId="5D9540C7" w:rsidR="00CC3FF9" w:rsidRPr="00C80A83" w:rsidRDefault="00CC3FF9" w:rsidP="00CC3FF9">
      <w:pPr>
        <w:spacing w:before="105" w:line="336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základě </w:t>
      </w:r>
      <w:r w:rsidR="006F004C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 č. 171/2023 Sb., o ochraně oznamovatelů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(dále jen „</w:t>
      </w:r>
      <w:r w:rsidR="006F004C" w:rsidRPr="00EA3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Zákon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“)</w:t>
      </w:r>
      <w:r w:rsidR="00EA312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EA3127" w:rsidRPr="00EA312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zákona č. 253/2008 Sb., o některých opatřeních proti legalizaci výnosů z trestné činnosti a financování terorismu</w:t>
      </w:r>
      <w:r w:rsidR="00EA312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zavedl</w:t>
      </w:r>
      <w:r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9B2B7D" w:rsidRPr="009B2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t>Mgr. Jan Pavelka, Ph.D.</w:t>
      </w:r>
      <w:r w:rsidR="009B2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t xml:space="preserve"> 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vnitřní oznamovací systém, který je určen osobám, které se v souvislosti s prací nebo jinou obdobnou činností </w:t>
      </w:r>
      <w:r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pro </w:t>
      </w:r>
      <w:r w:rsidR="009B2B7D" w:rsidRPr="009B2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t>Mgr. Jan Pavelka, Ph.D.</w:t>
      </w:r>
      <w:r w:rsidR="009B2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t xml:space="preserve"> 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dozvěděly o </w:t>
      </w:r>
      <w:r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protiprávním jednání.</w:t>
      </w:r>
    </w:p>
    <w:p w14:paraId="6C6DBF74" w14:textId="4846AB1C" w:rsidR="00C80A83" w:rsidRPr="00C80A83" w:rsidRDefault="00C80A83" w:rsidP="00EA3127">
      <w:pPr>
        <w:pStyle w:val="Odstavecseseznamem"/>
        <w:spacing w:before="105" w:line="336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0A83">
        <w:rPr>
          <w:rFonts w:ascii="Times New Roman" w:hAnsi="Times New Roman"/>
          <w:b/>
          <w:bCs/>
          <w:sz w:val="24"/>
          <w:szCs w:val="24"/>
        </w:rPr>
        <w:t>I.</w:t>
      </w:r>
    </w:p>
    <w:p w14:paraId="7865E7E6" w14:textId="56F68BC1" w:rsidR="00C80A83" w:rsidRPr="00C80A83" w:rsidRDefault="00C80A83" w:rsidP="00EA3127">
      <w:pPr>
        <w:pStyle w:val="Odstavecseseznamem"/>
        <w:spacing w:before="105" w:line="336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0A83">
        <w:rPr>
          <w:rFonts w:ascii="Times New Roman" w:hAnsi="Times New Roman"/>
          <w:b/>
          <w:bCs/>
          <w:sz w:val="24"/>
          <w:szCs w:val="24"/>
        </w:rPr>
        <w:t>Protiprávní jednání</w:t>
      </w:r>
    </w:p>
    <w:p w14:paraId="747A3C53" w14:textId="77777777" w:rsidR="00CC3FF9" w:rsidRPr="00CC3FF9" w:rsidRDefault="00CC3FF9" w:rsidP="00CC3FF9">
      <w:pPr>
        <w:spacing w:before="300" w:after="75" w:line="240" w:lineRule="auto"/>
        <w:ind w:left="75" w:right="75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Jedná se o protiprávní jednání, které</w:t>
      </w:r>
    </w:p>
    <w:p w14:paraId="1069426D" w14:textId="77777777" w:rsidR="00CC3FF9" w:rsidRPr="00CC3FF9" w:rsidRDefault="00CC3FF9" w:rsidP="00CC3F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má znaky trestného činu,</w:t>
      </w:r>
    </w:p>
    <w:p w14:paraId="31261642" w14:textId="77777777" w:rsidR="00CC3FF9" w:rsidRPr="00CC3FF9" w:rsidRDefault="00CC3FF9" w:rsidP="00CC3F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má znaky přestupku, za který zákon stanoví sazbu pokuty, jejíž horní hranice je alespoň 100 000 Kč,</w:t>
      </w:r>
    </w:p>
    <w:p w14:paraId="1D30A078" w14:textId="77777777" w:rsidR="00CC3FF9" w:rsidRPr="00CC3FF9" w:rsidRDefault="00CC3FF9" w:rsidP="00CC3F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porušuje zákon č. 171/2023 Sb., o ochraně oznamovatelů (dále jen „zákon o ochraně oznamovatelů“) nebo</w:t>
      </w:r>
    </w:p>
    <w:p w14:paraId="6D88E1CD" w14:textId="77777777" w:rsidR="00CC3FF9" w:rsidRPr="00CC3FF9" w:rsidRDefault="00CC3FF9" w:rsidP="00CC3FF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porušuje jiný právní předpis nebo předpis Evropské unie v oblasti:</w:t>
      </w:r>
    </w:p>
    <w:p w14:paraId="374B56E1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finančních služeb, povinného auditu a jiných ověřovacích služeb, finančních produktů a finančních trhů,</w:t>
      </w:r>
    </w:p>
    <w:p w14:paraId="6050D4AC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daně z příjmů právnických osob,</w:t>
      </w:r>
    </w:p>
    <w:p w14:paraId="17FBA9A5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předcházení legalizaci výnosů z trestné činnosti a financování terorismu,</w:t>
      </w:r>
    </w:p>
    <w:p w14:paraId="2CA7ECA5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ochrany spotřebitele,</w:t>
      </w:r>
    </w:p>
    <w:p w14:paraId="412E3747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souladu s požadavky na výrobky včetně jejich bezpečnosti,</w:t>
      </w:r>
    </w:p>
    <w:p w14:paraId="250B879F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bezpečnosti dopravy, přepravy a provozu na pozemních komunikacích,</w:t>
      </w:r>
    </w:p>
    <w:p w14:paraId="465E96A8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ochrany životního prostředí,</w:t>
      </w:r>
    </w:p>
    <w:p w14:paraId="35C69834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bezpečnosti potravin a krmiv a ochrany zvířat a jejich zdraví,</w:t>
      </w:r>
    </w:p>
    <w:p w14:paraId="1EC9CF52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radiační ochrany a jaderné bezpečnosti,</w:t>
      </w:r>
    </w:p>
    <w:p w14:paraId="3F233AC1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hospodářské soutěže, veřejných dražeb a zadávání veřejných zakázek,</w:t>
      </w:r>
    </w:p>
    <w:p w14:paraId="4591E045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ochrany vnitřního pořádku a bezpečnosti, života a zdraví,</w:t>
      </w:r>
    </w:p>
    <w:p w14:paraId="08558EF6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ochrany osobních údajů, soukromí a bezpečnosti sítí elektronických komunikací a informačních systémů,</w:t>
      </w:r>
    </w:p>
    <w:p w14:paraId="555A2951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ochrany finančních zájmů Evropské unie nebo</w:t>
      </w:r>
    </w:p>
    <w:p w14:paraId="7EEFD9DF" w14:textId="77777777" w:rsidR="00CC3FF9" w:rsidRPr="00CC3FF9" w:rsidRDefault="00CC3FF9" w:rsidP="00CC3FF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fungování vnitřního trhu včetně ochrany hospodářské soutěže a státní podpory podle práva Evropské unie.</w:t>
      </w:r>
    </w:p>
    <w:p w14:paraId="04C45F29" w14:textId="4BB0A078" w:rsidR="00EA3127" w:rsidRPr="00C80A83" w:rsidRDefault="00EA3127" w:rsidP="00EA3127">
      <w:pPr>
        <w:pStyle w:val="Odstavecseseznamem"/>
        <w:spacing w:before="105" w:line="336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80A83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</w:t>
      </w:r>
      <w:r w:rsidRPr="00C80A83">
        <w:rPr>
          <w:rFonts w:ascii="Times New Roman" w:hAnsi="Times New Roman"/>
          <w:b/>
          <w:bCs/>
          <w:sz w:val="24"/>
          <w:szCs w:val="24"/>
        </w:rPr>
        <w:t>.</w:t>
      </w:r>
    </w:p>
    <w:p w14:paraId="7C83694E" w14:textId="54473309" w:rsidR="00EA3127" w:rsidRPr="00C80A83" w:rsidRDefault="00EA3127" w:rsidP="00EA3127">
      <w:pPr>
        <w:pStyle w:val="Odstavecseseznamem"/>
        <w:spacing w:before="105" w:line="336" w:lineRule="atLeast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Oznámení</w:t>
      </w:r>
    </w:p>
    <w:p w14:paraId="52862ADC" w14:textId="77777777" w:rsidR="00CC3FF9" w:rsidRPr="00CC3FF9" w:rsidRDefault="00CC3FF9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Oznámení musí obsahovat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údaje o jménu, příjmení a datu narození nebo jiné údaje, z nichž je možné dovodit totožnost oznamovatele.</w:t>
      </w:r>
    </w:p>
    <w:p w14:paraId="002714AA" w14:textId="56C2702C" w:rsidR="00CC3FF9" w:rsidRPr="00CC3FF9" w:rsidRDefault="009B2B7D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Mgr. Jan Pavelka, Ph.D.</w:t>
      </w:r>
      <w:r w:rsidR="00CC3FF9" w:rsidRPr="00C80A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3FF9"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přijímá oznámení</w:t>
      </w:r>
      <w:r w:rsidR="00CC3FF9"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CC3FF9"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pouze </w:t>
      </w:r>
      <w:r w:rsidR="00CC3FF9"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od osoby, která, byť zprostředkovaně, pro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Mgr. Jan Pavelka, Ph.D.</w:t>
      </w:r>
      <w:r w:rsidR="00CC3FF9" w:rsidRPr="00C80A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3FF9"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vykonávala nebo vykonává práci nebo jinou obdobnou činnost podle § 2 odst. 3 písm. a), b), h) nebo i) </w:t>
      </w:r>
      <w:r w:rsidR="00EA312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</w:t>
      </w:r>
      <w:r w:rsidR="00CC3FF9"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ákona o ochraně oznamovatelů.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Mgr. Jan Pavelka, Ph.D.</w:t>
      </w:r>
      <w:r w:rsidR="00CC3FF9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CC3FF9"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vylučuje přijímání oznámení od osoby, která pro n</w:t>
      </w:r>
      <w:r w:rsidR="00CC3FF9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</w:t>
      </w:r>
      <w:r w:rsidR="00CC3FF9"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nevykonává práci nebo jinou obdobnou činnost podle § 2 odst. 3 písm. a), b), h) nebo i) zákona o ochraně oznamovatelů.</w:t>
      </w:r>
    </w:p>
    <w:p w14:paraId="76506FF5" w14:textId="3793B5A2" w:rsidR="00CC3FF9" w:rsidRDefault="00CC3FF9" w:rsidP="006F004C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Osobě, která v souladu se zákonem o ochraně oznamovatelů učinila oznámení a měla oprávněné důvody se domnívat, že oznámení výše uvedeného protiprávního jednání se zakládá na pravdivých informacích, náleží </w:t>
      </w:r>
      <w:r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ochrana před odvetným opatřením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Tato ochrana spočívá např. v zákazu rozvázání pracovního poměru nebo neprodloužení pracovního poměru na dobu určitou, snížení mzdy, platu nebo odměny či nepřiznání osobního příplatku, výpovědi, neumožnění odborného rozvoje atd. a vztahuje se i na osoby uvedené v § 4 odst. 2 zákona o ochraně oznamovatelů. Rovněž bude zajištěna důvěrnost vztahující se k totožnosti oznamovatele (případně dalších dotčených osob) a k informacím uvedeným v oznámení.</w:t>
      </w:r>
      <w:r w:rsidR="006F004C" w:rsidRPr="00C80A83">
        <w:rPr>
          <w:rFonts w:ascii="Times New Roman" w:hAnsi="Times New Roman" w:cs="Times New Roman"/>
          <w:sz w:val="24"/>
          <w:szCs w:val="24"/>
        </w:rPr>
        <w:t xml:space="preserve"> </w:t>
      </w:r>
      <w:r w:rsidR="0094135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Poučení pro oznamovatele </w:t>
      </w:r>
      <w:proofErr w:type="gramStart"/>
      <w:r w:rsidR="0094135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tvoří</w:t>
      </w:r>
      <w:proofErr w:type="gramEnd"/>
      <w:r w:rsidR="0094135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Přílohu č. 1 tohoto dokumentu.</w:t>
      </w:r>
    </w:p>
    <w:p w14:paraId="713120FF" w14:textId="77777777" w:rsidR="00941353" w:rsidRPr="00C80A83" w:rsidRDefault="00941353" w:rsidP="006F004C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D8A2B5B" w14:textId="4A7DC247" w:rsidR="00C80A83" w:rsidRPr="00C80A83" w:rsidRDefault="00C80A83" w:rsidP="00C80A8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83">
        <w:rPr>
          <w:rFonts w:ascii="Times New Roman" w:hAnsi="Times New Roman" w:cs="Times New Roman"/>
          <w:b/>
          <w:sz w:val="24"/>
          <w:szCs w:val="24"/>
        </w:rPr>
        <w:t>I</w:t>
      </w:r>
      <w:r w:rsidR="00EA3127">
        <w:rPr>
          <w:rFonts w:ascii="Times New Roman" w:hAnsi="Times New Roman" w:cs="Times New Roman"/>
          <w:b/>
          <w:sz w:val="24"/>
          <w:szCs w:val="24"/>
        </w:rPr>
        <w:t>I</w:t>
      </w:r>
      <w:r w:rsidRPr="00C80A83">
        <w:rPr>
          <w:rFonts w:ascii="Times New Roman" w:hAnsi="Times New Roman" w:cs="Times New Roman"/>
          <w:b/>
          <w:sz w:val="24"/>
          <w:szCs w:val="24"/>
        </w:rPr>
        <w:t>I.</w:t>
      </w:r>
    </w:p>
    <w:p w14:paraId="6F1C5710" w14:textId="39D28D79" w:rsidR="00C80A83" w:rsidRPr="00C80A83" w:rsidRDefault="00C80A83" w:rsidP="00C80A8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83">
        <w:rPr>
          <w:rFonts w:ascii="Times New Roman" w:hAnsi="Times New Roman" w:cs="Times New Roman"/>
          <w:b/>
          <w:sz w:val="24"/>
          <w:szCs w:val="24"/>
        </w:rPr>
        <w:t>Podání oznámení</w:t>
      </w:r>
    </w:p>
    <w:p w14:paraId="197D185D" w14:textId="77777777" w:rsidR="00C80A83" w:rsidRPr="00CC3FF9" w:rsidRDefault="00C80A83" w:rsidP="006F004C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74962C7C" w14:textId="681A02DF" w:rsidR="003B2A00" w:rsidRPr="00C80A83" w:rsidRDefault="00CC3FF9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Příslušná osoba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pro přijímání oznámení dle </w:t>
      </w:r>
      <w:r w:rsidR="006F004C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Zákona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</w:p>
    <w:p w14:paraId="06E3FEAC" w14:textId="3C716508" w:rsidR="00CC3FF9" w:rsidRPr="00CC3FF9" w:rsidRDefault="009B2B7D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9B2B7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  <w14:ligatures w14:val="none"/>
        </w:rPr>
        <w:t>Mgr. Jan Pavelka, Ph.D.</w:t>
      </w:r>
      <w:r w:rsidR="004421D1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="004421D1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tel.č</w:t>
      </w:r>
      <w:proofErr w:type="spellEnd"/>
      <w:r w:rsidR="004421D1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EB33E8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="004421D1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+ 420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774 815 479</w:t>
      </w:r>
      <w:r w:rsidR="004421D1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email: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</w:t>
      </w:r>
      <w:r w:rsidR="004421D1"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@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pavelka</w:t>
      </w:r>
      <w:r w:rsidR="007040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reality.cz</w:t>
      </w:r>
    </w:p>
    <w:p w14:paraId="73ADC74D" w14:textId="77777777" w:rsidR="00CC3FF9" w:rsidRPr="00C354CC" w:rsidRDefault="00CC3FF9" w:rsidP="00CC3FF9">
      <w:pPr>
        <w:spacing w:before="375" w:after="225" w:line="240" w:lineRule="auto"/>
        <w:ind w:left="60" w:right="75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354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Způsoby podání oznámení:</w:t>
      </w:r>
    </w:p>
    <w:p w14:paraId="6CC3C55D" w14:textId="28E869FD" w:rsidR="00CC3FF9" w:rsidRPr="00CC3FF9" w:rsidRDefault="00CC3FF9" w:rsidP="00CC3F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prostřednictvím emailu</w:t>
      </w:r>
      <w:r w:rsidR="00EB33E8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@</w:t>
      </w:r>
      <w:r w:rsid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pavelka</w:t>
      </w:r>
      <w:r w:rsidR="007040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reality.cz</w:t>
      </w:r>
      <w:r w:rsidR="00EB33E8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;</w:t>
      </w:r>
    </w:p>
    <w:p w14:paraId="2D776C4F" w14:textId="6834CBE4" w:rsidR="00CC3FF9" w:rsidRPr="00CC3FF9" w:rsidRDefault="00CC3FF9" w:rsidP="00CC3F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poštou na adresu: „k rukám </w:t>
      </w:r>
      <w:r w:rsid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Mgr. Jana Pavelky, Ph.D.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– neotevírat“, </w:t>
      </w:r>
      <w:r w:rsidR="007040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Brno, Jana Babáka 11, PSČ 616 00;</w:t>
      </w:r>
    </w:p>
    <w:p w14:paraId="5982DF5A" w14:textId="0A0718AD" w:rsidR="00CC3FF9" w:rsidRPr="00CC3FF9" w:rsidRDefault="00CC3FF9" w:rsidP="00CC3F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prostřednictvím telefonní linky </w:t>
      </w:r>
      <w:r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+ 420</w:t>
      </w:r>
      <w:r w:rsidR="009B2B7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774 815 479</w:t>
      </w:r>
      <w:r w:rsidR="00EB33E8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;</w:t>
      </w:r>
    </w:p>
    <w:p w14:paraId="0CBF5292" w14:textId="230DCE7E" w:rsidR="00CC3FF9" w:rsidRDefault="00CC3FF9" w:rsidP="00CC3FF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osobně</w:t>
      </w:r>
      <w:r w:rsidR="00F51110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předchozí písemné nebo telefonické domluvě s příslušnou osobou</w:t>
      </w:r>
      <w:r w:rsidR="00EB33E8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1A9C3081" w14:textId="77777777" w:rsidR="00EA3127" w:rsidRDefault="00EA3127" w:rsidP="00EA3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2A84F8F" w14:textId="77777777" w:rsidR="005E6D1D" w:rsidRDefault="005E6D1D" w:rsidP="00EA3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787DEB6" w14:textId="77777777" w:rsidR="005E6D1D" w:rsidRDefault="005E6D1D" w:rsidP="00EA31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2FD5CB6" w14:textId="2099E440" w:rsidR="00C80A83" w:rsidRPr="00C80A83" w:rsidRDefault="00C80A83" w:rsidP="00C80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lastRenderedPageBreak/>
        <w:t>I</w:t>
      </w:r>
      <w:r w:rsidR="00EA3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7EE73CCA" w14:textId="0167B7A8" w:rsidR="00C80A83" w:rsidRPr="00C80A83" w:rsidRDefault="00C80A83" w:rsidP="00C80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Zpracování oznámení</w:t>
      </w:r>
    </w:p>
    <w:p w14:paraId="03D6E5F9" w14:textId="77777777" w:rsidR="00C80A83" w:rsidRPr="00C80A83" w:rsidRDefault="00C80A83" w:rsidP="004421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2CF5A79" w14:textId="08140A2C" w:rsidR="00CC3FF9" w:rsidRPr="00C80A83" w:rsidRDefault="00CC3FF9" w:rsidP="004421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obdržení oznámení bude oznamovatel vyrozuměn o přijetí oznámení ve lhůtě 7 dní od jeho podání. O výsledcích prošetření a posouzení oznámení bude vyrozuměn do 30 dnů ode dne přijetí oznámení. V případech skutkově nebo právně složitých lze tuto lhůtu prodloužit až o 30 dnů, nejvýše však dvakrát. O prodloužení lhůty a důvodech pro její prodloužení příslušná osoba oznamovatele písemně vyrozumí před jejím uplynutím.</w:t>
      </w:r>
      <w:r w:rsidR="00F51110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Zjistí-li příslušná osoba při posuzování důvodnosti oznámení, že nejde o oznámení podle tohoto zákona, bez zbytečného odkladu o tom písemně vyrozumí oznamovatele.</w:t>
      </w:r>
    </w:p>
    <w:p w14:paraId="2B552412" w14:textId="77777777" w:rsidR="004421D1" w:rsidRPr="00C80A83" w:rsidRDefault="004421D1" w:rsidP="004421D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59D7796" w14:textId="07298A4C" w:rsidR="00F51110" w:rsidRPr="00C80A83" w:rsidRDefault="00F51110" w:rsidP="004421D1">
      <w:pPr>
        <w:pStyle w:val="Normlnweb"/>
        <w:shd w:val="clear" w:color="auto" w:fill="FFFFFF"/>
        <w:spacing w:before="0" w:beforeAutospacing="0" w:after="0" w:afterAutospacing="0"/>
        <w:jc w:val="both"/>
      </w:pPr>
      <w:r w:rsidRPr="00C80A83">
        <w:t xml:space="preserve">Nepřijme-li povinný subjekt opatření navržené příslušnou osobou, přijme k předejití nebo nápravě protiprávního stavu jiné vhodné opatření; to neplatí, jde-li o opatření navržené jiné osobě než povinnému subjektu, který tuto příslušnou osobu určil. O přijatém opatření povinný subjekt neprodleně vyrozumí příslušnou osobu, která o něm bez zbytečného odkladu písemně vyrozumí oznamovatele. </w:t>
      </w:r>
    </w:p>
    <w:p w14:paraId="215E6CB1" w14:textId="7C559D61" w:rsidR="00F51110" w:rsidRPr="00C80A83" w:rsidRDefault="00F51110" w:rsidP="004421D1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737373"/>
        </w:rPr>
      </w:pPr>
      <w:r w:rsidRPr="00C80A83">
        <w:t xml:space="preserve">Není-li oznámení vyhodnoceno jako důvodné, příslušná osoba bez zbytečného odkladu písemně vyrozumí oznamovatele o tom, že na základě skutečností uvedených v oznámení a z okolností, které jí jsou známy, neshledala podezření ze spáchání protiprávního jednání, nebo shledala, že oznámení se zakládá na nepravdivých informacích, a </w:t>
      </w:r>
      <w:proofErr w:type="gramStart"/>
      <w:r w:rsidRPr="00C80A83">
        <w:t>poučí</w:t>
      </w:r>
      <w:proofErr w:type="gramEnd"/>
      <w:r w:rsidRPr="00C80A83">
        <w:t xml:space="preserve"> oznamovatele o právu podat oznámení u orgánu veřejné moci.</w:t>
      </w:r>
    </w:p>
    <w:p w14:paraId="73CE0A49" w14:textId="2754594A" w:rsidR="006F004C" w:rsidRPr="00C80A83" w:rsidRDefault="006F004C" w:rsidP="006F004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D4825E" w14:textId="4AD636DA" w:rsidR="00C80A83" w:rsidRPr="00C80A83" w:rsidRDefault="00C80A83" w:rsidP="006F004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83">
        <w:rPr>
          <w:rFonts w:ascii="Times New Roman" w:hAnsi="Times New Roman" w:cs="Times New Roman"/>
          <w:b/>
          <w:sz w:val="24"/>
          <w:szCs w:val="24"/>
        </w:rPr>
        <w:t>V.</w:t>
      </w:r>
    </w:p>
    <w:p w14:paraId="426D81A3" w14:textId="68123DAA" w:rsidR="006F004C" w:rsidRPr="00C80A83" w:rsidRDefault="006F004C" w:rsidP="006F004C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83">
        <w:rPr>
          <w:rFonts w:ascii="Times New Roman" w:hAnsi="Times New Roman" w:cs="Times New Roman"/>
          <w:b/>
          <w:sz w:val="24"/>
          <w:szCs w:val="24"/>
        </w:rPr>
        <w:t>Evidence a uchovávání oznámení</w:t>
      </w:r>
    </w:p>
    <w:p w14:paraId="7E133270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Příslušná osoba vede v elektronické podobě evidenci údajů o přijatých oznámeních, a to v rozsahu</w:t>
      </w:r>
    </w:p>
    <w:p w14:paraId="4182E5ED" w14:textId="77777777" w:rsidR="006F004C" w:rsidRPr="00C80A83" w:rsidRDefault="006F004C" w:rsidP="006F0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0A83">
        <w:rPr>
          <w:rFonts w:ascii="Times New Roman" w:hAnsi="Times New Roman"/>
          <w:sz w:val="24"/>
          <w:szCs w:val="24"/>
        </w:rPr>
        <w:t>datum přijetí oznámení,</w:t>
      </w:r>
    </w:p>
    <w:p w14:paraId="55BB9D06" w14:textId="77777777" w:rsidR="006F004C" w:rsidRPr="00C80A83" w:rsidRDefault="006F004C" w:rsidP="006F0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0A83">
        <w:rPr>
          <w:rFonts w:ascii="Times New Roman" w:hAnsi="Times New Roman"/>
          <w:sz w:val="24"/>
          <w:szCs w:val="24"/>
        </w:rPr>
        <w:t xml:space="preserve">jméno, příjmení, datum narození a kontaktní adresa oznamovatele, nebo jiné údaje, z nichž je možné dovodit totožnost oznamovatele, jsou-li jí tyto údaje známy, </w:t>
      </w:r>
    </w:p>
    <w:p w14:paraId="1983C68C" w14:textId="77777777" w:rsidR="006F004C" w:rsidRPr="00C80A83" w:rsidRDefault="006F004C" w:rsidP="006F0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0A83">
        <w:rPr>
          <w:rFonts w:ascii="Times New Roman" w:hAnsi="Times New Roman"/>
          <w:sz w:val="24"/>
          <w:szCs w:val="24"/>
        </w:rPr>
        <w:t>shrnutí obsahu oznámení a identifikace dotčené osoby, je-li jí její totožnost známa,</w:t>
      </w:r>
    </w:p>
    <w:p w14:paraId="6F64BAC1" w14:textId="77777777" w:rsidR="006F004C" w:rsidRPr="00C80A83" w:rsidRDefault="006F004C" w:rsidP="006F0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0A83">
        <w:rPr>
          <w:rFonts w:ascii="Times New Roman" w:hAnsi="Times New Roman"/>
          <w:sz w:val="24"/>
          <w:szCs w:val="24"/>
        </w:rPr>
        <w:t>datum ukončení posouzení důvodnosti oznámení příslušnou osobou a jeho výsledek,</w:t>
      </w:r>
    </w:p>
    <w:p w14:paraId="065D6C69" w14:textId="77777777" w:rsidR="006F004C" w:rsidRPr="00C80A83" w:rsidRDefault="006F004C" w:rsidP="006F004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851" w:hanging="425"/>
        <w:jc w:val="both"/>
        <w:rPr>
          <w:rFonts w:ascii="Times New Roman" w:eastAsia="Calibri" w:hAnsi="Times New Roman"/>
          <w:sz w:val="24"/>
          <w:szCs w:val="24"/>
        </w:rPr>
      </w:pPr>
      <w:r w:rsidRPr="00C80A83">
        <w:rPr>
          <w:rFonts w:ascii="Times New Roman" w:hAnsi="Times New Roman"/>
          <w:sz w:val="24"/>
          <w:szCs w:val="24"/>
        </w:rPr>
        <w:t>navržená a přijatá preventivní nebo nápravná opatření.</w:t>
      </w:r>
    </w:p>
    <w:p w14:paraId="4914BA02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Příslušná osoba uchovává oznámení a dokumenty související s oznámením po dobu 5 let ode dne přijetí oznámení.</w:t>
      </w:r>
    </w:p>
    <w:p w14:paraId="3B30AB9B" w14:textId="3CAAAEE8" w:rsidR="006F004C" w:rsidRPr="00C80A83" w:rsidRDefault="00FF4B1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evidovaným</w:t>
      </w:r>
      <w:r w:rsidR="006F004C" w:rsidRPr="00C80A83">
        <w:rPr>
          <w:rFonts w:ascii="Times New Roman" w:hAnsi="Times New Roman" w:cs="Times New Roman"/>
          <w:sz w:val="24"/>
          <w:szCs w:val="24"/>
        </w:rPr>
        <w:t xml:space="preserve"> oznámením a </w:t>
      </w:r>
      <w:r>
        <w:rPr>
          <w:rFonts w:ascii="Times New Roman" w:hAnsi="Times New Roman" w:cs="Times New Roman"/>
          <w:sz w:val="24"/>
          <w:szCs w:val="24"/>
        </w:rPr>
        <w:t xml:space="preserve">uchovávaným </w:t>
      </w:r>
      <w:r w:rsidR="006F004C" w:rsidRPr="00C80A83">
        <w:rPr>
          <w:rFonts w:ascii="Times New Roman" w:hAnsi="Times New Roman" w:cs="Times New Roman"/>
          <w:sz w:val="24"/>
          <w:szCs w:val="24"/>
        </w:rPr>
        <w:t>dokumentům má přístup pouze příslušná osoba.</w:t>
      </w:r>
    </w:p>
    <w:p w14:paraId="2928E213" w14:textId="284EED25" w:rsidR="00C80A83" w:rsidRPr="00C80A83" w:rsidRDefault="00C80A83" w:rsidP="00C80A8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83">
        <w:rPr>
          <w:rFonts w:ascii="Times New Roman" w:hAnsi="Times New Roman" w:cs="Times New Roman"/>
          <w:b/>
          <w:sz w:val="24"/>
          <w:szCs w:val="24"/>
        </w:rPr>
        <w:t>V</w:t>
      </w:r>
      <w:r w:rsidR="00EA3127">
        <w:rPr>
          <w:rFonts w:ascii="Times New Roman" w:hAnsi="Times New Roman" w:cs="Times New Roman"/>
          <w:b/>
          <w:sz w:val="24"/>
          <w:szCs w:val="24"/>
        </w:rPr>
        <w:t>I</w:t>
      </w:r>
      <w:r w:rsidRPr="00C80A83">
        <w:rPr>
          <w:rFonts w:ascii="Times New Roman" w:hAnsi="Times New Roman" w:cs="Times New Roman"/>
          <w:b/>
          <w:sz w:val="24"/>
          <w:szCs w:val="24"/>
        </w:rPr>
        <w:t>.</w:t>
      </w:r>
    </w:p>
    <w:p w14:paraId="3F42EB5B" w14:textId="60B209A5" w:rsidR="006F004C" w:rsidRPr="00C80A83" w:rsidRDefault="006F004C" w:rsidP="00C80A83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A83">
        <w:rPr>
          <w:rFonts w:ascii="Times New Roman" w:hAnsi="Times New Roman" w:cs="Times New Roman"/>
          <w:b/>
          <w:sz w:val="24"/>
          <w:szCs w:val="24"/>
        </w:rPr>
        <w:t>Zpracování osobních údajů</w:t>
      </w:r>
    </w:p>
    <w:p w14:paraId="054BC93F" w14:textId="77777777" w:rsidR="006F004C" w:rsidRPr="00C80A83" w:rsidRDefault="006F004C" w:rsidP="00C80A83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Na zpracování osobních údajů v souvislosti s oznámením se nevztahuje povinnost posouzení vlivu zpracování osobních údajů na ochranu osobních údajů.</w:t>
      </w:r>
    </w:p>
    <w:p w14:paraId="4774186E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Osobní údaje se ve vztahu k oznámení zpracovávají na základě čl. 6 odst. 1 písm. c) obecného nařízení o ochraně osobních údajů</w:t>
      </w:r>
      <w:r w:rsidRPr="00C80A83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80A83">
        <w:rPr>
          <w:rFonts w:ascii="Times New Roman" w:hAnsi="Times New Roman" w:cs="Times New Roman"/>
          <w:sz w:val="24"/>
          <w:szCs w:val="24"/>
        </w:rPr>
        <w:t xml:space="preserve"> (dále jen „GDPR“).</w:t>
      </w:r>
    </w:p>
    <w:p w14:paraId="4BDA03AF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lastRenderedPageBreak/>
        <w:t>Zvláštní kategorie osobních údajů podle čl. 9 odst. 1 GDPR je možné ve vztahu k oznámení zpracovávat na základě čl. 9 odst. 2 písm. e), f) nebo g) GDPR.</w:t>
      </w:r>
    </w:p>
    <w:p w14:paraId="05CC349B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Informační povinnost podle čl. 13 a 14 GDPR je třeba plnit za současného zachování důvěrnosti podle tohoto vnitřního předpisu.</w:t>
      </w:r>
    </w:p>
    <w:p w14:paraId="060AE498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Výkon práva na přístup k osobním údajům podle čl. 15 GDPR lze subjektu údajů v souladu s čl. 23 GDPR umožnit pouze za předpokladu, že bude zachována důvěrnost totožnosti oznamovatele a dalších osob uvedených v oznámení.</w:t>
      </w:r>
    </w:p>
    <w:p w14:paraId="6AF05D3A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Žádost o přístup k osobním údajům týkající se oznámení předá osoba pověřená výkonem agendy ochrany osobních údajů k vyřízení příslušné osobě.</w:t>
      </w:r>
    </w:p>
    <w:p w14:paraId="22357B40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 xml:space="preserve">Zjistí-li příslušná osoba, že v souvislosti s oznámením nejsou žádné údaje vedeny nebo, že se uplatní výjimka z povinnosti takovou informaci poskytnout, žádost bez dalšího </w:t>
      </w:r>
      <w:proofErr w:type="gramStart"/>
      <w:r w:rsidRPr="00C80A83">
        <w:rPr>
          <w:rFonts w:ascii="Times New Roman" w:hAnsi="Times New Roman" w:cs="Times New Roman"/>
          <w:sz w:val="24"/>
          <w:szCs w:val="24"/>
        </w:rPr>
        <w:t>odloží</w:t>
      </w:r>
      <w:proofErr w:type="gramEnd"/>
      <w:r w:rsidRPr="00C80A83">
        <w:rPr>
          <w:rFonts w:ascii="Times New Roman" w:hAnsi="Times New Roman" w:cs="Times New Roman"/>
          <w:sz w:val="24"/>
          <w:szCs w:val="24"/>
        </w:rPr>
        <w:t>.</w:t>
      </w:r>
    </w:p>
    <w:p w14:paraId="78C5FF6B" w14:textId="77777777" w:rsidR="006F004C" w:rsidRPr="00C80A83" w:rsidRDefault="006F004C" w:rsidP="00C80A8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A83">
        <w:rPr>
          <w:rFonts w:ascii="Times New Roman" w:hAnsi="Times New Roman" w:cs="Times New Roman"/>
          <w:sz w:val="24"/>
          <w:szCs w:val="24"/>
        </w:rPr>
        <w:t>Povinnost oznámit porušení zabezpečení osobních údajů subjektu údajů se za současného zachování důvěrnosti podle tohoto vnitřního předpisu vztahuje rovněž na příslušnou osobu.</w:t>
      </w:r>
    </w:p>
    <w:p w14:paraId="6C69999A" w14:textId="77777777" w:rsidR="00F51110" w:rsidRPr="00CC3FF9" w:rsidRDefault="00F51110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28D7EE90" w14:textId="6FF92FB4" w:rsidR="00C80A83" w:rsidRPr="00C80A83" w:rsidRDefault="00C80A83" w:rsidP="00C80A83">
      <w:pPr>
        <w:spacing w:after="0" w:line="240" w:lineRule="auto"/>
        <w:ind w:left="62" w:right="74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V</w:t>
      </w:r>
      <w:r w:rsidR="00EA312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</w:t>
      </w: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I.</w:t>
      </w:r>
    </w:p>
    <w:p w14:paraId="07CE869D" w14:textId="643C71B9" w:rsidR="00CC3FF9" w:rsidRPr="00CC3FF9" w:rsidRDefault="00CC3FF9" w:rsidP="00C80A83">
      <w:pPr>
        <w:spacing w:after="0" w:line="240" w:lineRule="auto"/>
        <w:ind w:left="62" w:right="74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Externí oznamovací systém Ministerstva spravedlnosti</w:t>
      </w:r>
    </w:p>
    <w:p w14:paraId="7FFF3897" w14:textId="319CD234" w:rsidR="00EB33E8" w:rsidRPr="00C80A83" w:rsidRDefault="00CC3FF9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Oznámení je možno podat též prostřednictvím Ministerstva spravedlnosti ČR, a to osobně, telefonicky, e-mailem nebo prostřednictvím zabezpečeného elektronického formuláře dostupného na níže uvedeném odkazu:</w:t>
      </w:r>
    </w:p>
    <w:p w14:paraId="473289BF" w14:textId="0C3DD129" w:rsidR="00EB33E8" w:rsidRPr="00C80A83" w:rsidRDefault="00000000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hyperlink r:id="rId9" w:history="1">
        <w:r w:rsidR="00EB33E8" w:rsidRPr="00C80A83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https://oznamovatel.justice.cz/chci-podat-oznameni/</w:t>
        </w:r>
      </w:hyperlink>
    </w:p>
    <w:p w14:paraId="190EE06C" w14:textId="1D46FBB1" w:rsidR="00CC3FF9" w:rsidRPr="00CC3FF9" w:rsidRDefault="00CC3FF9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E-mail: </w:t>
      </w:r>
      <w:hyperlink r:id="rId10" w:history="1">
        <w:r w:rsidRPr="00CC3FF9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cs-CZ"/>
            <w14:ligatures w14:val="none"/>
          </w:rPr>
          <w:t>oznamovatel@msp.justice.cz</w:t>
        </w:r>
      </w:hyperlink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Tel.: </w:t>
      </w:r>
      <w:hyperlink r:id="rId11" w:history="1">
        <w:r w:rsidRPr="00CC3FF9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cs-CZ"/>
            <w14:ligatures w14:val="none"/>
          </w:rPr>
          <w:t>221 997 840</w:t>
        </w:r>
      </w:hyperlink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(telefonní hovory nejsou nahrávány)</w:t>
      </w:r>
    </w:p>
    <w:p w14:paraId="053B41C6" w14:textId="5946122E" w:rsidR="00EB33E8" w:rsidRPr="00C80A83" w:rsidRDefault="00CC3FF9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CC3FF9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Bližší informace vztahující se k oznamování výše uvedených protiprávních jednání jsou uvedeny </w:t>
      </w:r>
      <w:r w:rsidR="00EB33E8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</w:t>
      </w:r>
      <w:hyperlink r:id="rId12" w:history="1">
        <w:r w:rsidR="00EB33E8" w:rsidRPr="00C80A83">
          <w:rPr>
            <w:rStyle w:val="Hypertextovodkaz"/>
            <w:rFonts w:ascii="Times New Roman" w:eastAsia="Times New Roman" w:hAnsi="Times New Roman" w:cs="Times New Roman"/>
            <w:kern w:val="0"/>
            <w:sz w:val="24"/>
            <w:szCs w:val="24"/>
            <w:lang w:eastAsia="cs-CZ"/>
            <w14:ligatures w14:val="none"/>
          </w:rPr>
          <w:t>https://oznamovatel.justice.cz/pravni-uprava-a-metodicke-doporuceni/</w:t>
        </w:r>
      </w:hyperlink>
      <w:r w:rsidR="00EB33E8" w:rsidRPr="00C80A8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:</w:t>
      </w:r>
    </w:p>
    <w:p w14:paraId="6AC4493A" w14:textId="255DEFBF" w:rsidR="00CC3FF9" w:rsidRPr="00CC3FF9" w:rsidRDefault="00EB33E8" w:rsidP="00CC3FF9">
      <w:pPr>
        <w:spacing w:before="105" w:after="105" w:line="336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</w:pP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Z</w:t>
      </w:r>
      <w:r w:rsidR="00CC3FF9"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ákon o ochraně </w:t>
      </w:r>
      <w:proofErr w:type="gramStart"/>
      <w:r w:rsidR="00CC3FF9"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oznamovatelů,</w:t>
      </w:r>
      <w:r w:rsidR="00C80A83"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 </w:t>
      </w:r>
      <w:r w:rsidR="00CC3FF9"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Metodi</w:t>
      </w:r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ka</w:t>
      </w:r>
      <w:proofErr w:type="gramEnd"/>
      <w:r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 </w:t>
      </w:r>
      <w:r w:rsidR="00CC3FF9" w:rsidRPr="00CC3FF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>k přímé aplikovatelnosti směrnice Evropského parlamentu a Rady (EU) 2019/1937 ze dne 23. října 2019 o ochraně osob, které oznamují porušení práva Unie</w:t>
      </w:r>
      <w:r w:rsidR="00C80A83" w:rsidRPr="00C80A8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cs-CZ"/>
          <w14:ligatures w14:val="none"/>
        </w:rPr>
        <w:t xml:space="preserve"> a další.</w:t>
      </w:r>
    </w:p>
    <w:p w14:paraId="61AF2E8D" w14:textId="77777777" w:rsidR="00E76DAE" w:rsidRDefault="00E76DAE">
      <w:pPr>
        <w:rPr>
          <w:rFonts w:ascii="Times New Roman" w:hAnsi="Times New Roman" w:cs="Times New Roman"/>
        </w:rPr>
      </w:pPr>
    </w:p>
    <w:p w14:paraId="0648599D" w14:textId="77777777" w:rsidR="00941353" w:rsidRDefault="00941353">
      <w:pPr>
        <w:rPr>
          <w:rFonts w:ascii="Times New Roman" w:hAnsi="Times New Roman" w:cs="Times New Roman"/>
        </w:rPr>
      </w:pPr>
    </w:p>
    <w:p w14:paraId="1814DE81" w14:textId="77777777" w:rsidR="00941353" w:rsidRDefault="00941353">
      <w:pPr>
        <w:rPr>
          <w:rFonts w:ascii="Times New Roman" w:hAnsi="Times New Roman" w:cs="Times New Roman"/>
        </w:rPr>
      </w:pPr>
    </w:p>
    <w:p w14:paraId="1954AA7E" w14:textId="77777777" w:rsidR="0070402C" w:rsidRDefault="0070402C">
      <w:pPr>
        <w:rPr>
          <w:rFonts w:ascii="Times New Roman" w:hAnsi="Times New Roman" w:cs="Times New Roman"/>
        </w:rPr>
      </w:pPr>
    </w:p>
    <w:p w14:paraId="6277CF19" w14:textId="77777777" w:rsidR="0070402C" w:rsidRDefault="0070402C">
      <w:pPr>
        <w:rPr>
          <w:rFonts w:ascii="Times New Roman" w:hAnsi="Times New Roman" w:cs="Times New Roman"/>
        </w:rPr>
      </w:pPr>
    </w:p>
    <w:p w14:paraId="1FA8607F" w14:textId="77777777" w:rsidR="0070402C" w:rsidRDefault="0070402C">
      <w:pPr>
        <w:rPr>
          <w:rFonts w:ascii="Times New Roman" w:hAnsi="Times New Roman" w:cs="Times New Roman"/>
        </w:rPr>
      </w:pPr>
    </w:p>
    <w:p w14:paraId="7A68CF30" w14:textId="77777777" w:rsidR="0070402C" w:rsidRDefault="0070402C">
      <w:pPr>
        <w:rPr>
          <w:rFonts w:ascii="Times New Roman" w:hAnsi="Times New Roman" w:cs="Times New Roman"/>
        </w:rPr>
      </w:pPr>
    </w:p>
    <w:p w14:paraId="5F20D66C" w14:textId="77777777" w:rsidR="0070402C" w:rsidRDefault="0070402C">
      <w:pPr>
        <w:rPr>
          <w:rFonts w:ascii="Times New Roman" w:hAnsi="Times New Roman" w:cs="Times New Roman"/>
        </w:rPr>
      </w:pPr>
    </w:p>
    <w:p w14:paraId="61C85B3F" w14:textId="77777777" w:rsidR="0070402C" w:rsidRDefault="0070402C">
      <w:pPr>
        <w:rPr>
          <w:rFonts w:ascii="Times New Roman" w:hAnsi="Times New Roman" w:cs="Times New Roman"/>
        </w:rPr>
      </w:pPr>
    </w:p>
    <w:p w14:paraId="4F2E209F" w14:textId="4D752FA8" w:rsidR="00941353" w:rsidRPr="00941353" w:rsidRDefault="00941353" w:rsidP="00941353">
      <w:pPr>
        <w:jc w:val="both"/>
        <w:rPr>
          <w:rFonts w:ascii="Times New Roman" w:eastAsia="Calibri" w:hAnsi="Times New Roman"/>
          <w:i/>
          <w:iCs/>
          <w:sz w:val="20"/>
          <w:szCs w:val="20"/>
        </w:rPr>
      </w:pPr>
      <w:r w:rsidRPr="00941353">
        <w:rPr>
          <w:rFonts w:ascii="Times New Roman" w:eastAsia="Calibri" w:hAnsi="Times New Roman"/>
          <w:i/>
          <w:iCs/>
          <w:sz w:val="20"/>
          <w:szCs w:val="20"/>
        </w:rPr>
        <w:lastRenderedPageBreak/>
        <w:t>Příloha</w:t>
      </w:r>
      <w:r>
        <w:rPr>
          <w:rFonts w:ascii="Times New Roman" w:eastAsia="Calibri" w:hAnsi="Times New Roman"/>
          <w:i/>
          <w:iCs/>
          <w:sz w:val="20"/>
          <w:szCs w:val="20"/>
        </w:rPr>
        <w:t xml:space="preserve"> </w:t>
      </w:r>
      <w:r w:rsidR="00FF4B1C">
        <w:rPr>
          <w:rFonts w:ascii="Times New Roman" w:eastAsia="Calibri" w:hAnsi="Times New Roman"/>
          <w:i/>
          <w:iCs/>
          <w:sz w:val="20"/>
          <w:szCs w:val="20"/>
        </w:rPr>
        <w:t xml:space="preserve">č. </w:t>
      </w:r>
      <w:r>
        <w:rPr>
          <w:rFonts w:ascii="Times New Roman" w:eastAsia="Calibri" w:hAnsi="Times New Roman"/>
          <w:i/>
          <w:iCs/>
          <w:sz w:val="20"/>
          <w:szCs w:val="20"/>
        </w:rPr>
        <w:t>1</w:t>
      </w:r>
    </w:p>
    <w:p w14:paraId="37A65864" w14:textId="77777777" w:rsidR="00941353" w:rsidRPr="00941353" w:rsidRDefault="00941353" w:rsidP="00941353">
      <w:pPr>
        <w:jc w:val="both"/>
        <w:rPr>
          <w:rFonts w:ascii="Times New Roman" w:eastAsia="Calibri" w:hAnsi="Times New Roman"/>
          <w:b/>
          <w:bCs/>
          <w:sz w:val="20"/>
          <w:szCs w:val="20"/>
          <w:u w:val="single"/>
        </w:rPr>
      </w:pPr>
      <w:r w:rsidRPr="00941353">
        <w:rPr>
          <w:rFonts w:ascii="Times New Roman" w:eastAsia="Calibri" w:hAnsi="Times New Roman"/>
          <w:b/>
          <w:bCs/>
          <w:sz w:val="20"/>
          <w:szCs w:val="20"/>
          <w:u w:val="single"/>
        </w:rPr>
        <w:t xml:space="preserve">Informace pro oznamovatele: </w:t>
      </w:r>
    </w:p>
    <w:p w14:paraId="0399CC00" w14:textId="77777777" w:rsidR="00941353" w:rsidRPr="00941353" w:rsidRDefault="00941353" w:rsidP="00941353">
      <w:pPr>
        <w:numPr>
          <w:ilvl w:val="0"/>
          <w:numId w:val="7"/>
        </w:numPr>
        <w:spacing w:after="120"/>
        <w:ind w:left="357" w:hanging="357"/>
        <w:jc w:val="both"/>
        <w:rPr>
          <w:rFonts w:ascii="Times New Roman" w:eastAsia="Calibri" w:hAnsi="Times New Roman"/>
          <w:b/>
          <w:bCs/>
          <w:sz w:val="20"/>
          <w:szCs w:val="20"/>
          <w:u w:val="single"/>
        </w:rPr>
      </w:pPr>
      <w:r w:rsidRPr="00941353">
        <w:rPr>
          <w:rFonts w:ascii="Times New Roman" w:eastAsia="Calibri" w:hAnsi="Times New Roman"/>
          <w:b/>
          <w:bCs/>
          <w:sz w:val="20"/>
          <w:szCs w:val="20"/>
          <w:u w:val="single"/>
        </w:rPr>
        <w:t>Zákaz poskytnutí údajů třetí osobě</w:t>
      </w:r>
    </w:p>
    <w:p w14:paraId="3E33BD0B" w14:textId="77777777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 xml:space="preserve">Příslušná osoba neposkytne třetí osobě informace, které by mohly zmařit nebo ohrozit účel podávání oznámení. </w:t>
      </w:r>
    </w:p>
    <w:p w14:paraId="61E82CCE" w14:textId="77777777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 xml:space="preserve">Do evidence údajů o přijatých oznámeních a k dokumentům souvisejícím s oznámením – uchovávaným povinným subjektem má přístup pouze příslušná osoba.    </w:t>
      </w:r>
    </w:p>
    <w:p w14:paraId="230BC490" w14:textId="77777777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 xml:space="preserve">Informace o totožnosti oznamovatele a osoby podle § 4 odst. 2 písm. a) až h) zákona č. 171/2023 Sb., o ochraně oznamovatelů, je možné poskytnout jen s jejich </w:t>
      </w:r>
      <w:r w:rsidRPr="00941353">
        <w:rPr>
          <w:rFonts w:ascii="Times New Roman" w:eastAsia="Calibri" w:hAnsi="Times New Roman"/>
          <w:b/>
          <w:bCs/>
          <w:sz w:val="20"/>
          <w:szCs w:val="20"/>
        </w:rPr>
        <w:t>písemným souhlasem</w:t>
      </w:r>
      <w:r w:rsidRPr="00941353">
        <w:rPr>
          <w:rFonts w:ascii="Times New Roman" w:eastAsia="Calibri" w:hAnsi="Times New Roman"/>
          <w:sz w:val="20"/>
          <w:szCs w:val="20"/>
        </w:rPr>
        <w:t xml:space="preserve">, ledaže je příslušná osoba povinna tyto informace poskytnout příslušným orgánům veřejné moci podle jiných právních předpisů. </w:t>
      </w:r>
    </w:p>
    <w:p w14:paraId="13E6C52B" w14:textId="77777777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Na všechny osoby včetně osob příslušných a oznamovatelů se rovněž vztahuje povinnost oznamovat vyjmenované trestné činy podle § 368 odst. 1 zákona č. 40/2009 Sb., trestní zákoník.</w:t>
      </w:r>
    </w:p>
    <w:p w14:paraId="1726AD68" w14:textId="77777777" w:rsidR="00941353" w:rsidRPr="00941353" w:rsidRDefault="00941353" w:rsidP="00941353">
      <w:pPr>
        <w:numPr>
          <w:ilvl w:val="0"/>
          <w:numId w:val="7"/>
        </w:numPr>
        <w:spacing w:after="120"/>
        <w:ind w:left="357" w:hanging="357"/>
        <w:jc w:val="both"/>
        <w:rPr>
          <w:rFonts w:ascii="Times New Roman" w:eastAsia="Calibri" w:hAnsi="Times New Roman"/>
          <w:b/>
          <w:bCs/>
          <w:sz w:val="20"/>
          <w:szCs w:val="20"/>
          <w:u w:val="single"/>
        </w:rPr>
      </w:pPr>
      <w:r w:rsidRPr="00941353">
        <w:rPr>
          <w:rFonts w:ascii="Times New Roman" w:eastAsia="Calibri" w:hAnsi="Times New Roman"/>
          <w:b/>
          <w:bCs/>
          <w:sz w:val="20"/>
          <w:szCs w:val="20"/>
          <w:u w:val="single"/>
        </w:rPr>
        <w:t xml:space="preserve">Posuzování oznámení </w:t>
      </w:r>
    </w:p>
    <w:p w14:paraId="41D73DC2" w14:textId="77777777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 xml:space="preserve">Příslušná osoba je povinna </w:t>
      </w:r>
      <w:r w:rsidRPr="00941353">
        <w:rPr>
          <w:rFonts w:ascii="Times New Roman" w:eastAsia="Calibri" w:hAnsi="Times New Roman"/>
          <w:b/>
          <w:bCs/>
          <w:sz w:val="20"/>
          <w:szCs w:val="20"/>
        </w:rPr>
        <w:t>posoudit důvodnost oznámení</w:t>
      </w:r>
      <w:r w:rsidRPr="00941353">
        <w:rPr>
          <w:rFonts w:ascii="Times New Roman" w:eastAsia="Calibri" w:hAnsi="Times New Roman"/>
          <w:sz w:val="20"/>
          <w:szCs w:val="20"/>
        </w:rPr>
        <w:t xml:space="preserve"> a písemně vyrozumět oznamovatele o výsledcích posouzení </w:t>
      </w:r>
      <w:r w:rsidRPr="00941353">
        <w:rPr>
          <w:rFonts w:ascii="Times New Roman" w:eastAsia="Calibri" w:hAnsi="Times New Roman"/>
          <w:b/>
          <w:bCs/>
          <w:sz w:val="20"/>
          <w:szCs w:val="20"/>
        </w:rPr>
        <w:t xml:space="preserve">do 30 dnů </w:t>
      </w:r>
      <w:r w:rsidRPr="00941353">
        <w:rPr>
          <w:rFonts w:ascii="Times New Roman" w:eastAsia="Calibri" w:hAnsi="Times New Roman"/>
          <w:sz w:val="20"/>
          <w:szCs w:val="20"/>
        </w:rPr>
        <w:t>ode dne přijetí oznámení</w:t>
      </w:r>
      <w:r w:rsidRPr="00941353">
        <w:rPr>
          <w:rFonts w:ascii="Times New Roman" w:eastAsia="Calibri" w:hAnsi="Times New Roman"/>
          <w:b/>
          <w:bCs/>
          <w:sz w:val="20"/>
          <w:szCs w:val="20"/>
        </w:rPr>
        <w:t>.</w:t>
      </w:r>
      <w:r w:rsidRPr="00941353">
        <w:rPr>
          <w:rFonts w:ascii="Times New Roman" w:eastAsia="Calibri" w:hAnsi="Times New Roman"/>
          <w:sz w:val="20"/>
          <w:szCs w:val="20"/>
        </w:rPr>
        <w:t xml:space="preserve"> V případech skutkově nebo právně složitých lze tuto lhůtu prodloužit až dvakrát, vždy o 30 dnů. O prodloužení lhůty a důvodech pro její prodloužení je příslušná osoba povinna oznamovatele písemně vyrozumět před jejím uplynutím.</w:t>
      </w:r>
    </w:p>
    <w:p w14:paraId="7969002F" w14:textId="77777777" w:rsidR="00941353" w:rsidRPr="00941353" w:rsidRDefault="00941353" w:rsidP="00941353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41353">
        <w:rPr>
          <w:rFonts w:ascii="Times New Roman" w:hAnsi="Times New Roman"/>
          <w:sz w:val="20"/>
          <w:szCs w:val="20"/>
        </w:rPr>
        <w:t>Zjistí-li příslušná osoba při posuzování důvodnosti oznámení, že nejde o oznámení podle tohoto zákona, bez zbytečného odkladu o tom písemně vyrozumí oznamovatele.</w:t>
      </w:r>
    </w:p>
    <w:p w14:paraId="4C38FA91" w14:textId="77777777" w:rsidR="00941353" w:rsidRPr="00941353" w:rsidRDefault="00941353" w:rsidP="00941353">
      <w:pPr>
        <w:spacing w:after="0" w:line="240" w:lineRule="auto"/>
        <w:ind w:left="717"/>
        <w:jc w:val="both"/>
        <w:rPr>
          <w:rFonts w:ascii="Times New Roman" w:hAnsi="Times New Roman"/>
          <w:sz w:val="20"/>
          <w:szCs w:val="20"/>
        </w:rPr>
      </w:pPr>
    </w:p>
    <w:p w14:paraId="40F1714E" w14:textId="20F0A058" w:rsidR="00941353" w:rsidRPr="00941353" w:rsidRDefault="00941353" w:rsidP="00941353">
      <w:pPr>
        <w:numPr>
          <w:ilvl w:val="0"/>
          <w:numId w:val="9"/>
        </w:numPr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Je-li oznámení vyhodnoceno jako důvodné, příslušná osoba povinnému subjektu navrhne opatření k předejití nebo nápravě protiprávního stavu. Nepřijme-li povinný subjekt opatření navržené příslušnou osobou, přijme k předejití nebo nápravě protiprávního stavu jiné vhodné opatření; to neplatí, jde-li o opatření navržené jiné osobě než povinnému subjektu, který tuto příslušnou osobu určil.</w:t>
      </w:r>
    </w:p>
    <w:p w14:paraId="09949501" w14:textId="77777777" w:rsidR="00941353" w:rsidRPr="00941353" w:rsidRDefault="00941353" w:rsidP="00941353">
      <w:pPr>
        <w:numPr>
          <w:ilvl w:val="0"/>
          <w:numId w:val="7"/>
        </w:numPr>
        <w:spacing w:after="120"/>
        <w:ind w:left="357" w:hanging="357"/>
        <w:jc w:val="both"/>
        <w:rPr>
          <w:rFonts w:ascii="Times New Roman" w:eastAsia="Calibri" w:hAnsi="Times New Roman"/>
          <w:b/>
          <w:bCs/>
          <w:sz w:val="20"/>
          <w:szCs w:val="20"/>
          <w:u w:val="single"/>
        </w:rPr>
      </w:pPr>
      <w:r w:rsidRPr="00941353">
        <w:rPr>
          <w:rFonts w:ascii="Times New Roman" w:eastAsia="Calibri" w:hAnsi="Times New Roman"/>
          <w:b/>
          <w:bCs/>
          <w:sz w:val="20"/>
          <w:szCs w:val="20"/>
          <w:u w:val="single"/>
        </w:rPr>
        <w:t xml:space="preserve">Jak postupovat v případě odvetných opatření </w:t>
      </w:r>
    </w:p>
    <w:p w14:paraId="24250EC6" w14:textId="77777777" w:rsidR="00941353" w:rsidRPr="00941353" w:rsidRDefault="00941353" w:rsidP="00941353">
      <w:pPr>
        <w:spacing w:after="120"/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Za hlavní ochranné opatření lze považovat zákaz uplatnění odvetného opatření vůči oznamovateli a dalším chráněným fyzickým i právnickým osobám (např. kolegům, pomocníkům oznamovatele, osobám oznamovateli blízkým, právnickým osobám, jejichž společníkem je oznamovatel atd.) a zákaz umožnit uplatnění odvetného opatření, který dopadá na povinné subjekty.</w:t>
      </w:r>
    </w:p>
    <w:p w14:paraId="3CB47961" w14:textId="77777777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 xml:space="preserve">Odvetným opatřením se rozumí „jednání nebo jeho opomenutí v souvislosti s prací nebo jinou obdobnou činností oznamovatele, které bylo vyvoláno učiněním oznámení a které oznamovateli nebo osobě podle odstavce 2 písm. a) až h) může způsobit újmu“. </w:t>
      </w:r>
    </w:p>
    <w:p w14:paraId="72A14199" w14:textId="77777777" w:rsidR="00941353" w:rsidRPr="00941353" w:rsidRDefault="00941353" w:rsidP="00941353">
      <w:pPr>
        <w:spacing w:after="120"/>
        <w:ind w:firstLine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Takovým odvetným opatřením může být dle zákona o ochraně oznamovatelů zejména:</w:t>
      </w:r>
    </w:p>
    <w:p w14:paraId="2F5E6FBD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rozvázání pracovního poměru nebo neprodloužení pracovního poměru na dobu určitou,</w:t>
      </w:r>
    </w:p>
    <w:p w14:paraId="54F16187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zproštění výkonu služby, zařazení mimo výkon služby nebo skončení služebního poměru,</w:t>
      </w:r>
    </w:p>
    <w:p w14:paraId="4B3756E7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zrušení právního vztahu založeného dohodou o provedení práce nebo dohodou o pracovní činnosti,</w:t>
      </w:r>
    </w:p>
    <w:p w14:paraId="250DB41C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odvolání z místa vedoucího zaměstnance nebo ze služebního místa představeného,</w:t>
      </w:r>
    </w:p>
    <w:p w14:paraId="19C367FF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 xml:space="preserve"> uložení kárného opatření nebo kázeňského trestu,</w:t>
      </w:r>
    </w:p>
    <w:p w14:paraId="78796299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snížení mzdy, platu nebo odměny nebo nepřiznání osobního příplatku,</w:t>
      </w:r>
    </w:p>
    <w:p w14:paraId="63C873ED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přeložení nebo převedení na jinou práci nebo na jiné služební místo,</w:t>
      </w:r>
    </w:p>
    <w:p w14:paraId="1C143E1D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služební hodnocení nebo pracovní posudek,</w:t>
      </w:r>
    </w:p>
    <w:p w14:paraId="4F9FB168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neumožnění odborného rozvoje,</w:t>
      </w:r>
    </w:p>
    <w:p w14:paraId="3C65B893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změna pracovní nebo služební doby,</w:t>
      </w:r>
    </w:p>
    <w:p w14:paraId="2566B86B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vyžadování lékařského posudku nebo pracovnělékařské prohlídky,</w:t>
      </w:r>
    </w:p>
    <w:p w14:paraId="70BDB29D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lastRenderedPageBreak/>
        <w:t>výpověď nebo odstoupení od smlouvy, nebo</w:t>
      </w:r>
    </w:p>
    <w:p w14:paraId="387A37C2" w14:textId="77777777" w:rsidR="00941353" w:rsidRPr="00941353" w:rsidRDefault="00941353" w:rsidP="00941353">
      <w:pPr>
        <w:numPr>
          <w:ilvl w:val="0"/>
          <w:numId w:val="8"/>
        </w:numPr>
        <w:shd w:val="clear" w:color="auto" w:fill="FFFFFF"/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zásah do práva na ochranu osobnosti.</w:t>
      </w:r>
    </w:p>
    <w:p w14:paraId="43B9D7BB" w14:textId="77777777" w:rsidR="00941353" w:rsidRPr="00941353" w:rsidRDefault="00941353" w:rsidP="00941353">
      <w:pPr>
        <w:spacing w:after="120"/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Ochrany před odvetnými opatřeními se nelze vzdát ani je nelze omezit žádnou dohodou či podmínkami pracovního poměru či obdobného pracovního vztahu.</w:t>
      </w:r>
    </w:p>
    <w:p w14:paraId="4B95FAFF" w14:textId="77777777" w:rsidR="00941353" w:rsidRPr="00941353" w:rsidRDefault="00941353" w:rsidP="00941353">
      <w:pPr>
        <w:spacing w:after="120"/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Oznamovateli náleží ochrana podle zákona č. 171/2023 Sb., o ochraně oznamovatelů, pokud:</w:t>
      </w:r>
    </w:p>
    <w:p w14:paraId="53CAEF36" w14:textId="77777777" w:rsidR="00941353" w:rsidRPr="00941353" w:rsidRDefault="00941353" w:rsidP="00941353">
      <w:pPr>
        <w:numPr>
          <w:ilvl w:val="0"/>
          <w:numId w:val="8"/>
        </w:numPr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nepodal vědomě nepravdivé oznámení a</w:t>
      </w:r>
    </w:p>
    <w:p w14:paraId="2B47DE02" w14:textId="77777777" w:rsidR="00941353" w:rsidRPr="00941353" w:rsidRDefault="00941353" w:rsidP="00941353">
      <w:pPr>
        <w:numPr>
          <w:ilvl w:val="0"/>
          <w:numId w:val="8"/>
        </w:numPr>
        <w:spacing w:after="120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podal oznámení v souladu se zákonem buď prostřednictvím vnitřního oznamovacího systému, externího oznamovacího systému Ministerstva spravedlnosti, nebo učinil uveřejnění, případně oznámení podali přímo jinému příslušnému orgánu veřejné moci.</w:t>
      </w:r>
    </w:p>
    <w:p w14:paraId="7F1CC212" w14:textId="77777777" w:rsidR="00941353" w:rsidRPr="00941353" w:rsidRDefault="00941353" w:rsidP="00941353">
      <w:pPr>
        <w:spacing w:after="120"/>
        <w:ind w:left="284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Ochrana náleží také dalším osobám podle § 4 odst. 2 písm. a) až h) zákona.</w:t>
      </w:r>
    </w:p>
    <w:p w14:paraId="0D4E3A75" w14:textId="77777777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 xml:space="preserve">V případě porušení zákazu uplatnění odvetných opatření se oznamovatel bude moci vůči původci odvetného opatření domáhat ochrany před soudem. V rámci občanského soudního řízení disponují oznamovatelé v postavení žalobce následujícími procesními výhodami: obráceným důkazním břemenem (žalovaný musí prokazovat, že tvrzené odvetné opatření bylo motivováno jinými důvody než podáním oznámení) a možnost navrhnout nařízení předběžného opatření bez povinnosti skládat jistotu. Osoby ve služebním poměru mohou odvolacímu orgánu navrhnout odkladný účinek rozhodnutí, které má znaky odvetného opatření, nebo pozastavení jeho vykonatelnosti. </w:t>
      </w:r>
    </w:p>
    <w:p w14:paraId="0D254F2F" w14:textId="77777777" w:rsidR="00941353" w:rsidRPr="00941353" w:rsidRDefault="00941353" w:rsidP="00941353">
      <w:pPr>
        <w:numPr>
          <w:ilvl w:val="0"/>
          <w:numId w:val="7"/>
        </w:numPr>
        <w:spacing w:after="120"/>
        <w:ind w:left="357" w:hanging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b/>
          <w:bCs/>
          <w:sz w:val="20"/>
          <w:szCs w:val="20"/>
          <w:u w:val="single"/>
        </w:rPr>
        <w:t xml:space="preserve">Vědomě nepravdivé oznámení </w:t>
      </w:r>
    </w:p>
    <w:p w14:paraId="6C2E8195" w14:textId="5A36081B" w:rsidR="00941353" w:rsidRPr="00941353" w:rsidRDefault="00941353" w:rsidP="00941353">
      <w:pPr>
        <w:spacing w:after="120"/>
        <w:ind w:left="357"/>
        <w:jc w:val="both"/>
        <w:rPr>
          <w:rFonts w:ascii="Times New Roman" w:eastAsia="Calibri" w:hAnsi="Times New Roman"/>
          <w:sz w:val="20"/>
          <w:szCs w:val="20"/>
        </w:rPr>
      </w:pPr>
      <w:r w:rsidRPr="00941353">
        <w:rPr>
          <w:rFonts w:ascii="Times New Roman" w:eastAsia="Calibri" w:hAnsi="Times New Roman"/>
          <w:sz w:val="20"/>
          <w:szCs w:val="20"/>
        </w:rPr>
        <w:t>Fyzická osoba se dopustí přestupku tím, že podá vědomě nepravdivé oznámení. Za přestupek podle odstavce 1 lze uložit pokutu do 50 000 Kč. Oznamovatel může být za podání nepravdivého oznámení rovněž odpovědný podle jiných právních předpisů.</w:t>
      </w:r>
    </w:p>
    <w:sectPr w:rsidR="00941353" w:rsidRPr="0094135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FDBA1" w14:textId="77777777" w:rsidR="004E50D0" w:rsidRDefault="004E50D0" w:rsidP="004421D1">
      <w:pPr>
        <w:spacing w:after="0" w:line="240" w:lineRule="auto"/>
      </w:pPr>
      <w:r>
        <w:separator/>
      </w:r>
    </w:p>
  </w:endnote>
  <w:endnote w:type="continuationSeparator" w:id="0">
    <w:p w14:paraId="5B2DA888" w14:textId="77777777" w:rsidR="004E50D0" w:rsidRDefault="004E50D0" w:rsidP="0044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15247985"/>
      <w:docPartObj>
        <w:docPartGallery w:val="Page Numbers (Bottom of Page)"/>
        <w:docPartUnique/>
      </w:docPartObj>
    </w:sdtPr>
    <w:sdtContent>
      <w:p w14:paraId="00D591FC" w14:textId="30C32820" w:rsidR="004421D1" w:rsidRDefault="004421D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79AB01" w14:textId="77777777" w:rsidR="004421D1" w:rsidRDefault="004421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3A8A4" w14:textId="77777777" w:rsidR="004E50D0" w:rsidRDefault="004E50D0" w:rsidP="004421D1">
      <w:pPr>
        <w:spacing w:after="0" w:line="240" w:lineRule="auto"/>
      </w:pPr>
      <w:r>
        <w:separator/>
      </w:r>
    </w:p>
  </w:footnote>
  <w:footnote w:type="continuationSeparator" w:id="0">
    <w:p w14:paraId="1B82B071" w14:textId="77777777" w:rsidR="004E50D0" w:rsidRDefault="004E50D0" w:rsidP="004421D1">
      <w:pPr>
        <w:spacing w:after="0" w:line="240" w:lineRule="auto"/>
      </w:pPr>
      <w:r>
        <w:continuationSeparator/>
      </w:r>
    </w:p>
  </w:footnote>
  <w:footnote w:id="1">
    <w:p w14:paraId="5EE49C69" w14:textId="77777777" w:rsidR="006F004C" w:rsidRPr="00C80A83" w:rsidRDefault="006F004C" w:rsidP="006F004C">
      <w:pPr>
        <w:pStyle w:val="Textpoznpodarou"/>
        <w:ind w:left="142" w:hanging="142"/>
        <w:jc w:val="both"/>
        <w:rPr>
          <w:rFonts w:ascii="Times New Roman" w:hAnsi="Times New Roman"/>
          <w:sz w:val="22"/>
          <w:szCs w:val="22"/>
        </w:rPr>
      </w:pPr>
      <w:r w:rsidRPr="00C80A83">
        <w:rPr>
          <w:rStyle w:val="Znakapoznpodarou"/>
          <w:rFonts w:ascii="Times New Roman" w:hAnsi="Times New Roman"/>
          <w:sz w:val="22"/>
          <w:szCs w:val="22"/>
        </w:rPr>
        <w:footnoteRef/>
      </w:r>
      <w:r w:rsidRPr="00C80A83">
        <w:rPr>
          <w:rFonts w:ascii="Times New Roman" w:hAnsi="Times New Roman"/>
          <w:sz w:val="22"/>
          <w:szCs w:val="22"/>
        </w:rPr>
        <w:t xml:space="preserve"> Nařízení Evropského parlamentu a Rady (EU) 2016/679 ze dne 27. dubna 2016 o ochraně fyzických osob v souvislosti se zpracováním osobních údajů a o volném pohybu těchto údajů a o zrušení směrnice 95/46/ES (obecné nařízení o ochraně osobních údajů).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E3E84" w14:textId="2AD61028" w:rsidR="004421D1" w:rsidRDefault="004421D1">
    <w:pPr>
      <w:pStyle w:val="Zhlav"/>
      <w:jc w:val="center"/>
    </w:pPr>
  </w:p>
  <w:p w14:paraId="77A874C9" w14:textId="77777777" w:rsidR="004421D1" w:rsidRDefault="004421D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67D87"/>
    <w:multiLevelType w:val="multilevel"/>
    <w:tmpl w:val="E06667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558B8"/>
    <w:multiLevelType w:val="hybridMultilevel"/>
    <w:tmpl w:val="E106351C"/>
    <w:lvl w:ilvl="0" w:tplc="2EA492A2">
      <w:start w:val="5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A9E676C"/>
    <w:multiLevelType w:val="multilevel"/>
    <w:tmpl w:val="BC5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5F47B2"/>
    <w:multiLevelType w:val="hybridMultilevel"/>
    <w:tmpl w:val="FBCC8C6A"/>
    <w:lvl w:ilvl="0" w:tplc="F9282BDC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297700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E5FCB"/>
    <w:multiLevelType w:val="hybridMultilevel"/>
    <w:tmpl w:val="7F508414"/>
    <w:lvl w:ilvl="0" w:tplc="96886A7A">
      <w:start w:val="1"/>
      <w:numFmt w:val="decimal"/>
      <w:lvlText w:val="(%1)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D04FB"/>
    <w:multiLevelType w:val="hybridMultilevel"/>
    <w:tmpl w:val="7A0EE39A"/>
    <w:lvl w:ilvl="0" w:tplc="A8EAAB06">
      <w:start w:val="3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73F71E5C"/>
    <w:multiLevelType w:val="hybridMultilevel"/>
    <w:tmpl w:val="BD086172"/>
    <w:lvl w:ilvl="0" w:tplc="B86A4F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A1425"/>
    <w:multiLevelType w:val="hybridMultilevel"/>
    <w:tmpl w:val="DB9E00E4"/>
    <w:lvl w:ilvl="0" w:tplc="A7609E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4898">
    <w:abstractNumId w:val="0"/>
  </w:num>
  <w:num w:numId="2" w16cid:durableId="236478014">
    <w:abstractNumId w:val="2"/>
  </w:num>
  <w:num w:numId="3" w16cid:durableId="1143236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657730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654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7052157">
    <w:abstractNumId w:val="8"/>
  </w:num>
  <w:num w:numId="7" w16cid:durableId="2124380726">
    <w:abstractNumId w:val="7"/>
  </w:num>
  <w:num w:numId="8" w16cid:durableId="1326280728">
    <w:abstractNumId w:val="6"/>
  </w:num>
  <w:num w:numId="9" w16cid:durableId="54395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F9"/>
    <w:rsid w:val="0010418C"/>
    <w:rsid w:val="0013735E"/>
    <w:rsid w:val="001D5906"/>
    <w:rsid w:val="002D051C"/>
    <w:rsid w:val="00391149"/>
    <w:rsid w:val="003B2A00"/>
    <w:rsid w:val="003B61D6"/>
    <w:rsid w:val="004421D1"/>
    <w:rsid w:val="004E50D0"/>
    <w:rsid w:val="005D04DC"/>
    <w:rsid w:val="005E6D1D"/>
    <w:rsid w:val="006B30C2"/>
    <w:rsid w:val="006F004C"/>
    <w:rsid w:val="0070402C"/>
    <w:rsid w:val="00725EEE"/>
    <w:rsid w:val="00941353"/>
    <w:rsid w:val="00961A71"/>
    <w:rsid w:val="009B2B7D"/>
    <w:rsid w:val="00A16EBB"/>
    <w:rsid w:val="00B909BA"/>
    <w:rsid w:val="00C231B3"/>
    <w:rsid w:val="00C354CC"/>
    <w:rsid w:val="00C80A83"/>
    <w:rsid w:val="00C95C0D"/>
    <w:rsid w:val="00CC3FF9"/>
    <w:rsid w:val="00E76DAE"/>
    <w:rsid w:val="00EA3127"/>
    <w:rsid w:val="00EB33E8"/>
    <w:rsid w:val="00F51110"/>
    <w:rsid w:val="00FF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4B21"/>
  <w15:chartTrackingRefBased/>
  <w15:docId w15:val="{B269F263-2B05-4DC0-9DDB-EEE3B9A9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C3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3">
    <w:name w:val="heading 3"/>
    <w:basedOn w:val="Normln"/>
    <w:link w:val="Nadpis3Char"/>
    <w:uiPriority w:val="9"/>
    <w:qFormat/>
    <w:rsid w:val="00CC3F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adpis4">
    <w:name w:val="heading 4"/>
    <w:basedOn w:val="Normln"/>
    <w:link w:val="Nadpis4Char"/>
    <w:uiPriority w:val="9"/>
    <w:qFormat/>
    <w:rsid w:val="00CC3F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FF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CC3FF9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CC3FF9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CC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C3FF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CC3FF9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C3FF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4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1D1"/>
  </w:style>
  <w:style w:type="paragraph" w:styleId="Zpat">
    <w:name w:val="footer"/>
    <w:basedOn w:val="Normln"/>
    <w:link w:val="ZpatChar"/>
    <w:uiPriority w:val="99"/>
    <w:unhideWhenUsed/>
    <w:rsid w:val="00442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1D1"/>
  </w:style>
  <w:style w:type="character" w:customStyle="1" w:styleId="fn">
    <w:name w:val="fn"/>
    <w:basedOn w:val="Standardnpsmoodstavce"/>
    <w:rsid w:val="00EB33E8"/>
  </w:style>
  <w:style w:type="character" w:customStyle="1" w:styleId="TextpoznpodarouChar">
    <w:name w:val="Text pozn. pod čarou Char"/>
    <w:aliases w:val="Text pozn. pod čarou Char1 Char Char,Char Char Char Char,Char Char,Schriftart: 9 pt Char,Schriftart: 10 pt Char,Schriftart: 8 pt Char,Char Char Char Char Char Char,Char3 Char,Text pozn. pod čarou1 Char,Footnote Text Char1 Char"/>
    <w:basedOn w:val="Standardnpsmoodstavce"/>
    <w:link w:val="Textpoznpodarou"/>
    <w:uiPriority w:val="99"/>
    <w:semiHidden/>
    <w:locked/>
    <w:rsid w:val="006F004C"/>
    <w:rPr>
      <w:rFonts w:ascii="Calibri" w:eastAsia="Times New Roman" w:hAnsi="Calibri" w:cs="Times New Roman"/>
      <w:sz w:val="20"/>
      <w:szCs w:val="20"/>
      <w:lang w:eastAsia="cs-CZ"/>
    </w:rPr>
  </w:style>
  <w:style w:type="paragraph" w:styleId="Textpoznpodarou">
    <w:name w:val="footnote text"/>
    <w:aliases w:val="Text pozn. pod čarou Char1 Char,Char Char Char,Char,Schriftart: 9 pt,Schriftart: 10 pt,Schriftart: 8 pt,Char Char Char Char Char,Char3,Text pozn. pod čarou1,Footnote Text Char1"/>
    <w:basedOn w:val="Normln"/>
    <w:link w:val="TextpoznpodarouChar"/>
    <w:uiPriority w:val="99"/>
    <w:semiHidden/>
    <w:unhideWhenUsed/>
    <w:rsid w:val="006F004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6F004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F004C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6F00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9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velkareality.cz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znamovatel.justice.cz/pravni-uprava-a-metodicke-doporucen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42022199784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znamovatel@msp.just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znamovatel.justice.cz/chci-podat-oznamen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2ACF5-0446-4995-81F7-3C7132D5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1885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Pavelková</dc:creator>
  <cp:keywords/>
  <dc:description/>
  <cp:lastModifiedBy>Hana Pavelková</cp:lastModifiedBy>
  <cp:revision>4</cp:revision>
  <cp:lastPrinted>2023-12-14T11:39:00Z</cp:lastPrinted>
  <dcterms:created xsi:type="dcterms:W3CDTF">2024-06-18T19:15:00Z</dcterms:created>
  <dcterms:modified xsi:type="dcterms:W3CDTF">2024-06-18T19:20:00Z</dcterms:modified>
</cp:coreProperties>
</file>